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SABErstV (Bayern) — Verfahren der Antragstellung</w:t>
      </w:r>
    </w:p>
    <w:p>
      <w:r>
        <w:rPr>
          <w:color w:val="555555"/>
          <w:sz w:val="18"/>
        </w:rPr>
        <w:t xml:space="preserve">Straßenausbaubeitrags-Erstattungsverordnung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Gemeinden richten ihre Anträge auf Erstattung unmittelbar an die jeweils zuständige Erstattungsbehörde. Wird ein Antragsformular oder ein elektronisches Antragsverfahren zur Verfügung gestellt, ist dieses von den Gemeinden zu verwenden.</w:t>
      </w:r>
    </w:p>
    <w:p>
      <w:r>
        <w:t xml:space="preserve">(2) Die Gemeinden haben alle Angaben zu machen und Unterlagen vorzulegen, die erforderlich sind, damit die Erstattungsbehörde prüfen kann, ob die Voraussetzungen für eine Erstattung nach Art. 19 Abs. 9 Satz 1 und 6 KAG vorliegen. Auf Verlangen der Erstattungsbehörde haben die Gemeinden fehlende Angaben oder Unterlagen zu ergänzen.</w:t>
      </w:r>
    </w:p>
    <w:p>
      <w:r>
        <w:rPr>
          <w:color w:val="555555"/>
          <w:sz w:val="17"/>
        </w:rPr>
        <w:t xml:space="preserve">Zitiervorschlag: § 2 SABErstV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https://recht.nulegal.eu/gesetze/SABErstV/2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