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SüdumfStG</w:t>
      </w:r>
    </w:p>
    <w:p>
      <w:r>
        <w:rPr>
          <w:color w:val="555555"/>
          <w:sz w:val="18"/>
        </w:rPr>
        <w:t xml:space="preserve">Gesetz über den Bau der "Südumfahrung Stendal" der Eisenbahnstrecke Berlin-Oebisfelde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SüdumfStG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https://recht.nulegal.eu/gesetze/S%C3%BCdumfStG/eingangsformel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