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SüdumfStG — Vorzeitige Besitzeinweisung</w:t>
      </w:r>
    </w:p>
    <w:p>
      <w:r>
        <w:rPr>
          <w:color w:val="555555"/>
          <w:sz w:val="18"/>
        </w:rPr>
        <w:t xml:space="preserve">Gesetz über den Bau der "Südumfahrung Stendal" der Eisenbahnstrecke Berlin-Oebisfelde</w:t>
      </w:r>
    </w:p>
    <w:p>
      <w:r>
        <w:rPr>
          <w:color w:val="555555"/>
          <w:sz w:val="18"/>
        </w:rPr>
        <w:t xml:space="preserve">Stand: 10.06.2019 (konsolidierte Textfassung, kein amtliches Inkrafttretensdatum)</w:t>
      </w:r>
    </w:p>
    <w:p>
      <w:r>
        <w:t xml:space="preserve">(1) Weigert sich der Eigentümer oder Besitzer, den Besitz eines für das Vorhaben benötigten Grundstücks durch Vereinbarung unter Vorbehalt aller Entschädigungsansprüche zu überlassen, so hat die Enteignungsbehörde die Deutsche Reichsbahn auf Antrag in den Besitz einzuweisen. Weiterer Voraussetzungen bedarf es nicht.</w:t>
      </w:r>
    </w:p>
    <w:p>
      <w:r>
        <w:t xml:space="preserve">(2) Die Enteignungsbehörde hat spätestens sechs Wochen nach Eingang des Antrages auf Besitzeinweisung mit den Beteiligten mündlich zu verhandeln. Hierzu sind die Deutsche Reichsbahn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Sie sind außerdem darauf hinzuweisen, daß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w:t>
      </w:r>
    </w:p>
    <w:p>
      <w:r>
        <w:t xml:space="preserve">(4) Der Beschluß über die Besitzeinweisung ist der Deutschen Reichsbahn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die Deutsche Reichsbahn Besitzer. Die Deutsche Reichsbahn darf auf dem Grundstück das im Antrag auf Besitzeinweisung bezeichnete Vorhaben durchführung und die dafür erforderlichen Maßnahmen treffen. Der Beschluß über die Besitzeinweisung ist sofort vollziehbar.</w:t>
      </w:r>
    </w:p>
    <w:p>
      <w:r>
        <w:t xml:space="preserve">(5) Die Deutsche Reichsbahn hat für die durch die vorzeitige Besitzeinweisung entstehenden Vermögensnachteile Entschädigung zu leisten, soweit die Nachteile nicht durch die Verzinsung der Geldentschädigung für die Entziehung oder Beschränkung des Eigentums oder eines anderen Rechtes ausgeglichen werden. Art und Höhe der Entschädigung sind von der Enteignungsbehörde in einem Beschluß festzusetzen.</w:t>
      </w:r>
    </w:p>
    <w:p>
      <w:r>
        <w:rPr>
          <w:color w:val="555555"/>
          <w:sz w:val="17"/>
        </w:rPr>
        <w:t xml:space="preserve">Zitiervorschlag: § 4 SüdumfStG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https://recht.nulegal.eu/gesetze/S%C3%BCdumfStG/4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