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SüdumfStG — Enteignungsverfahren, Enteignungsentschädigung, gerichtliches Verfahren</w:t>
      </w:r>
    </w:p>
    <w:p>
      <w:r>
        <w:rPr>
          <w:color w:val="555555"/>
          <w:sz w:val="18"/>
        </w:rPr>
        <w:t xml:space="preserve">Gesetz über den Bau der "Südumfahrung Stendal" der Eisenbahnstrecke Berlin-Oebisfelde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Enteignung zugunsten der Bundesrepublik Deutschland - Sondervermögen Deutsche Reichsbahn - ist zulässig, soweit sie zur Ausführung des Planes nach den §§ 1 und 2 notwendig ist.</w:t>
      </w:r>
    </w:p>
    <w:p>
      <w:r>
        <w:t xml:space="preserve">(2) Das Enteignungsverfahren richtet sich nach den §§ 104 bis 122 des Baugesetzbuchs mit der Maßgabe, daß für die vorzeitige Besitzeinweisung (§ 116) § 4 dieses Gesetzes gilt.</w:t>
      </w:r>
    </w:p>
    <w:p>
      <w:r>
        <w:t xml:space="preserve">(3) Für die Enteignungsentschädigung gelten die §§ 93 bis 103 des Baugesetzbuchs.</w:t>
      </w:r>
    </w:p>
    <w:p>
      <w:r>
        <w:t xml:space="preserve">(4) Für das gerichtliche Verfahren zur Überprüfung der Entscheidungen der Enteignungsbehörde gelten die §§ 217 bis 232 des Baugesetzbuchs entsprechend.</w:t>
      </w:r>
    </w:p>
    <w:p>
      <w:r>
        <w:rPr>
          <w:color w:val="555555"/>
          <w:sz w:val="17"/>
        </w:rPr>
        <w:t xml:space="preserve">Zitiervorschlag: § 3 SüdumfStG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https://recht.nulegal.eu/gesetze/S%C3%BCdumfStG/3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