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SüdumfStG — Zulassung des Baus</w:t>
      </w:r>
    </w:p>
    <w:p>
      <w:r>
        <w:rPr>
          <w:color w:val="555555"/>
          <w:sz w:val="18"/>
        </w:rPr>
        <w:t xml:space="preserve">Gesetz über den Bau der "Südumfahrung Stendal" der Eisenbahnstrecke Berlin-Oebisfelde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Herstellung der Einheitlichkeit der Lebensverhältnisse im gesamten Gebiet der Bundesrepublik Deutschland ist die Südumfahrung Stendal als Teil der Eisenbahnstrecke Berlin-Oebisfelde im Abschnitt von km 99,95 bis km 113,00 + 155 einschließlich der für den Betrieb dieses Verkehrsweges notwendigen Anlagen als Bundeseisenbahnanlage, Sondervermögen Deutsche Reichsbahn, zu bauen. Der Bau erfolgt nach dem Plan, der diesem Gesetz als Anlagen 1 bis 12 beigefügt ist.</w:t>
      </w:r>
    </w:p>
    <w:p>
      <w:r>
        <w:t xml:space="preserve">(2) Durch dieses Gesetz ist die Zulässigkeit des Vorhabens einschließlich der notwendigen Folgemaßnahmen an anderen Anlagen im Hinblick auf alle von ihm berührten öffentlichen Belange festgestellt. Weitere behördliche Entscheidungen, insbesondere öffentlich-rechtliche Genehmigungen, Verleihungen, Erlaubnisse, Bewilligungen, Zustimmungen und Planfeststellungen sind nicht erforderlich. Mit diesem Gesetz werden alle öffentlich-rechtlichen Beziehungen zwischen der Deutschen Reichsbahn als Träger des Vorhabens und den durch den Plan Betroffenen rechtsgestaltend geregelt.</w:t>
      </w:r>
    </w:p>
    <w:p>
      <w:r>
        <w:rPr>
          <w:color w:val="555555"/>
          <w:sz w:val="17"/>
        </w:rPr>
        <w:t xml:space="preserve">Zitiervorschlag: § 1 SüdumfStG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https://recht.nulegal.eu/gesetze/S%C3%BCdumfStG/1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SüdumfStG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