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SüßwAusbV — Gewichtung der Prüfungsbereiche, Bestehen der Abschlussprüfung</w:t>
      </w:r>
    </w:p>
    <w:p>
      <w:r>
        <w:rPr>
          <w:color w:val="555555"/>
          <w:sz w:val="18"/>
        </w:rPr>
        <w:t xml:space="preserve">Süßwarentechnologenausbildungsverordnung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Prüfungsbereiche sind wie folgt zu gewichten:</w:t>
      </w:r>
    </w:p>
    <w:p>
      <w:r>
        <w:rPr>
          <w:rFonts w:ascii="Courier New" w:hAnsi="Courier New"/>
          <w:sz w:val="17"/>
        </w:rPr>
        <w:t xml:space="preserve">Produktion von Süßwaren    mit 50 Prozent,</w:t>
      </w:r>
    </w:p>
    <w:p>
      <w:r>
        <w:rPr>
          <w:rFonts w:ascii="Courier New" w:hAnsi="Courier New"/>
          <w:sz w:val="17"/>
        </w:rPr>
        <w:t xml:space="preserve">Süßwarentechnologie    mit 40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3. (2) Die Abschlussprüfung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zwei Prüfungsbereichen mit mindestens „ausreichend“,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„Süßwarentechnologie“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8 SüßwAusbV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https://recht.nulegal.eu/gesetze/S%C3%BC%C3%9FwAusbV/8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