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SächsZuVOWaStrG (Sachsen)</w:t>
      </w:r>
    </w:p>
    <w:p>
      <w:r>
        <w:rPr>
          <w:color w:val="555555"/>
          <w:sz w:val="18"/>
        </w:rPr>
        <w:t xml:space="preserve">Gemeinsame Verordnung des Sächsischen Staatsministeriums für Umwelt und Landesentwicklung, des Sächsischen Staatsministeriums für Wirtschaft und Arbeit und des Sächsischen Staatsministeriums für Landwirtschaft, Ernährung und Forsten über Zuständigkeiten nach dem Bundeswasserstraßengesetz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Landesbehörde für die Erklärung des Einvernehmens zur Wahrung der Belange der Landeskultur und der Wasserwirtschaft nach den §§ 4 und 14 Abs. 3 des Bundeswasserstraßengesetzes ( WaStrG ) in der Fassung der Bekanntmachung vom 23. August 1990 (BGBl. I S. 1818), zuletzt geändert durch Artikel 4 des Gesetzes vom 6. Juni 1995 (BGBl. S. 778), ist die Landesdirektion.</w:t>
      </w:r>
    </w:p>
    <w:p>
      <w:r>
        <w:t xml:space="preserve">(2) Zuständige Landesbehörde für die Erklärung des Einvernehmens zur Planung und Linienführung von Bundeswasserstraßen gemäß § 13 Abs. 1 WaStrG ist das Sächsische Staatsministerium für Wirtschaft und Arbeit; es handelt im Einvernehmen mit dem Sächsischen Staatsministerium für Umwelt und Landesentwicklung als oberster Landesplanungsbehörde sowie im Benehmen mit dem Sächsischen Staatsministerium für Landwirtschaft, Ernährung und Forsten.</w:t>
      </w:r>
    </w:p>
    <w:p>
      <w:r>
        <w:rPr>
          <w:color w:val="555555"/>
          <w:sz w:val="17"/>
        </w:rPr>
        <w:t xml:space="preserve">Zitiervorschlag: § 1 SächsZuVOWaStrG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https://recht.nulegal.eu/gesetze/S%C3%A4chsZuVOWaStrG/1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