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SächsWprG (Sachsen) — Beschlussfähigkeit</w:t>
      </w:r>
    </w:p>
    <w:p>
      <w:r>
        <w:rPr>
          <w:color w:val="555555"/>
          <w:sz w:val="18"/>
        </w:rPr>
        <w:t xml:space="preserve">Sächsisches Wahlprüfungsgesetz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Wahlprüfungsausschuss ist beschlussfähig, wenn mindestens die Hälfte der stimmberechtigten Mitglieder anwesend oder vertreten ist. Er beschließt mit Stimmenmehrheit; bei Stimmengleichheit ist ein Antrag abgelehnt. Stimmenthaltungen werden für die Ermittlung der Stimmenmehrheit nicht berücksichtigt.</w:t>
      </w:r>
    </w:p>
    <w:p>
      <w:r>
        <w:rPr>
          <w:color w:val="555555"/>
          <w:sz w:val="17"/>
        </w:rPr>
        <w:t xml:space="preserve">Zitiervorschlag: § 4 SächsWprG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https://recht.nulegal.eu/gesetze/S%C3%A4chsWprG/4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