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SächsWprG (Sachsen) — Wirkung der Entscheidung des Landtages</w:t>
      </w:r>
    </w:p>
    <w:p>
      <w:r>
        <w:rPr>
          <w:color w:val="555555"/>
          <w:sz w:val="18"/>
        </w:rPr>
        <w:t xml:space="preserve">Sächsisches Wahlprüfungsgesetz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Stellt der Landtag im Wahlprüfungsverfahren den Verlust eines Abgeordnetenmandats fest, so behält die oder der Abgeordnete ihre oder seine Rechte und Pflichten bis zur Rechtskraft der Entscheidung.</w:t>
      </w:r>
    </w:p>
    <w:p>
      <w:r>
        <w:t xml:space="preserve">(2) Der Landtag kann jedoch mit einer Mehrheit von zwei Dritteln seiner Mitglieder beschließen, dass der Abgeordnete bis zur Rechtskraft der Entscheidung nicht mehr an den Arbeiten des Landtages teilnehmen kann.</w:t>
      </w:r>
    </w:p>
    <w:p>
      <w:r>
        <w:t xml:space="preserve">(3) Wird gegen die gemäß Absatz 1 ergangene Entscheidung des Landtages Beschwerde eingelegt, so kann der Verfassungsgerichtshof des Freistaates Sachsen auf Antrag der Beschwerdeführerin oder des Beschwerdeführers den gemäß Absatz 2 ergangenen Beschluss durch einstweilige Anordnung aufheben oder, falls ein solcher Beschluss nicht gefasst worden ist, auf Antrag eines Fünftels der Mitglieder des Landtages eine Anordnung gemäß Absatz 2 treffen.</w:t>
      </w:r>
    </w:p>
    <w:p>
      <w:r>
        <w:rPr>
          <w:color w:val="555555"/>
          <w:sz w:val="17"/>
        </w:rPr>
        <w:t xml:space="preserve">Zitiervorschlag: § 16 SächsWprG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https://recht.nulegal.eu/gesetze/S%C3%A4chsWprG/16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