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SächsWprG (Sachsen) — Einspruch nach Ablauf der Einspruchsfrist</w:t>
      </w:r>
    </w:p>
    <w:p>
      <w:r>
        <w:rPr>
          <w:color w:val="555555"/>
          <w:sz w:val="18"/>
        </w:rPr>
        <w:t xml:space="preserve">Sächsisches Wahlprüfungsgesetz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Ergeben sich Zweifel, ob eine Abgeordnete oder ein Abgeordneter im Zeitpunkt der Wahl wählbar war, so kann auch nach Ablauf der Einspruchsfrist (§ 2 Absatz 4 Satz 1) die Präsidentin oder der Präsident des Landtages Einspruch gegen die Gültigkeit der Wahl dieser oder dieses Abgeordneten einlegen. Der Einspruch ist einzulegen, wenn 20 Abgeordnete es verlangen.</w:t>
      </w:r>
    </w:p>
    <w:p>
      <w:r>
        <w:rPr>
          <w:color w:val="555555"/>
          <w:sz w:val="17"/>
        </w:rPr>
        <w:t xml:space="preserve">Zitiervorschlag: § 14 SächsWprG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https://recht.nulegal.eu/gesetze/S%C3%A4chsWprG/14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SächsWprG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