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SächsWprG (Sachsen) — Beschluss des Wahlprüfungsausschusses</w:t>
      </w:r>
    </w:p>
    <w:p>
      <w:r>
        <w:rPr>
          <w:color w:val="555555"/>
          <w:sz w:val="18"/>
        </w:rPr>
        <w:t xml:space="preserve">Sächsisches Wahlprüfungsgesetz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Beschluss des Wahlprüfungsausschusses ist schriftlich niederzulegen; er muss dem Landtag eine Entscheidung über die Gültigkeit der angefochtenen Wahl unter Beachtung von § 1 Absatz 3 vorschlagen. Dem Beschluss ist ein Bericht beizugeben, in dem die wesentlichen Tatsachen und Gründe, auf denen die Entscheidung beruht, anzugeben sind. Wegen der Einzelheiten ist eine Bezugnahme auf den Akteninhalt zulässig.</w:t>
      </w:r>
    </w:p>
    <w:p>
      <w:r>
        <w:rPr>
          <w:color w:val="555555"/>
          <w:sz w:val="17"/>
        </w:rPr>
        <w:t xml:space="preserve">Zitiervorschlag: § 11 SächsWprG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https://recht.nulegal.eu/gesetze/S%C3%A4chsWprG/11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SächsWprG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