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SächsWolfMVO (Sachsen) — Besenderung von Wölfen</w:t>
      </w:r>
    </w:p>
    <w:p>
      <w:r>
        <w:rPr>
          <w:color w:val="555555"/>
          <w:sz w:val="18"/>
        </w:rPr>
        <w:t xml:space="preserve">Sächsische Wolfsmanagementverordnung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Landesamt für Umwelt, Landwirtschaft und Geologie hat die Aufgabe, zur Durchführung von Monitoringaufgaben und zur Vorbereitung von Managementmaßnahmen wie der Entnahme nach dem Kapitel 2 ein landesweites Programm der Besenderung von Wölfen aufzulegen. Das zur Besenderung erforderliche Fangen und Betäuben von Wölfen in schonender Weise durch sachkundige Personen ist als Ausnahme von § 45 Absatz 7 Satz 1 Nummer 3 des Bundesnaturschutzgesetzes zugelassen. Die in Nummer 4 der Anlage aufgeführten Techniken sind als schonend anzusehen.</w:t>
      </w:r>
    </w:p>
    <w:p>
      <w:r>
        <w:rPr>
          <w:color w:val="555555"/>
          <w:sz w:val="17"/>
        </w:rPr>
        <w:t xml:space="preserve">Zitiervorschlag: § 13 SächsWolfMVO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https://recht.nulegal.eu/gesetze/S%C3%A4chsWolfMVO/13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