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SächsWahlG (Sachsen) — Aufstellung von Parteibewerberinnen und Parteibewerbern</w:t>
      </w:r>
    </w:p>
    <w:p>
      <w:r>
        <w:rPr>
          <w:color w:val="555555"/>
          <w:sz w:val="18"/>
        </w:rPr>
        <w:t xml:space="preserve">Sächsisches Wahlgesetz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Als Bewerberin oder Bewerber einer Partei kann in einem Kreiswahlvorschlag nur benannt werden, wer in einer Mitgliederversammlung zur Wahl einer Wahlkreisbewerberin oder eines Wahlkreisbewerbers oder in einer besonderen oder allgemeinen Vertreterversammlung hierzu gewählt worden ist. Mitgliederversammlung zur Wahl einer Wahlkreisbewerberin oder eines Wahlkreisbewerbers ist eine Versammlung der im Zeitpunkt ihres Zusammentritts im Wahlkreis wahlberechtigten Mitglieder der Partei. Besondere Vertreterversammlung ist eine Versammlung der von einer derartigen Mitgliederversammlung aus ihrer Mitte gewählten Vertreterinnen und Vertreter. Allgemeine Vertreterversammlung ist eine nach der Satzung der Partei (§ 6 Parteiengesetz ) allgemein für bevorstehende Wahlen von einer derartigen Mitgliederversammlung aus ihrer Mitte bestellte Versammlung.</w:t>
      </w:r>
    </w:p>
    <w:p>
      <w:r>
        <w:t xml:space="preserve">(2) In Landkreisen und Kreisfreien Städten, die mehrere Wahlkreise umfassen, können die Bewerberinnen und Bewerber für diejenigen Wahlkreise, deren Gebiet die Grenze des Landkreises oder der Kreisfreien Stadt nicht durchschneidet, in einer gemeinsamen Mitglieder- oder Vertreterversammlung gewählt werden. Dabei sind für jeden Wahlkreis getrennte Wahlen durchzuführen.</w:t>
      </w:r>
    </w:p>
    <w:p>
      <w:r>
        <w:t xml:space="preserve">(3) Die Bewerberinnen und Bewerber sowie die Vertreterinnen und Vertreter für die Vertreterversammlungen werden in geheimer Wahl mit Stimmzetteln gewählt. Jede stimmberechtigt an der Versammlung teilnehmende Person ist vorschlagsberechtigt; satzungsmäßige Vorschlagsrechte bleiben unberührt. Den Bewerberinnen und Bewerbern ist Gelegenheit zu geben, sich und ihr Programm der Versammlung vorzustellen. Die Wahlen dürfen frühestens vier Jahre nach Beginn der Wahlperiode des Landtages stattfinden; dies gilt nicht, wenn die Wahlperiode vorzeitig endet.</w:t>
      </w:r>
    </w:p>
    <w:p>
      <w:r>
        <w:t xml:space="preserve">(4) Das Nähere über die Wahl der Vertreterinnen und Vertreter für die Vertreterversammlung, über die Einberufung und Beschlussfähigkeit der Mitglieder- oder Vertreterversammlung sowie über das Verfahren für die Wahl der Bewerberinnen und Bewerber regeln die Parteien durch ihre Satzungen.</w:t>
      </w:r>
    </w:p>
    <w:p>
      <w:r>
        <w:t xml:space="preserve">(5) Eine Ausfertigung der Niederschrift über die Wahl der Bewerberin oder des Bewerbers mit Angaben über Ort, Art und Zeit der Versammlung, Form der Einladung, Zahl der erschienenen Mitglieder und Ergebnis der Wahlen ist mit dem Kreiswahlvorschlag einzureichen. Hierbei haben die Leiterin oder der Leiter der Versammlung und zwei von der Versammlung bestimmte teilnehmende Personen gegenüber der Kreiswahlleiterin oder dem Kreiswahlleiter an Eides statt zu versichern, dass die Anforderungen gemäß Absatz 3 Satz 1 bis 3 beachtet worden sind. Die Kreiswahlleiterin oder der Kreiswahlleiter ist zur Abnahme einer solchen Versicherung an Eides statt zuständig; sie oder er gilt als Behörde im Sinne des § 156 des Strafgesetzbuches .</w:t>
      </w:r>
    </w:p>
    <w:p>
      <w:r>
        <w:rPr>
          <w:color w:val="555555"/>
          <w:sz w:val="17"/>
        </w:rPr>
        <w:t xml:space="preserve">Zitiervorschlag: § 21 SächsWahlG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https://recht.nulegal.eu/gesetze/S%C3%A4chsWahlG/21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