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SächsWaffGDVO (Sachsen)</w:t>
      </w:r>
    </w:p>
    <w:p>
      <w:r>
        <w:rPr>
          <w:color w:val="555555"/>
          <w:sz w:val="18"/>
        </w:rPr>
        <w:t xml:space="preserve">Sächsische Waffengesetzdurchführungsverordnung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30. August 2017</w:t>
      </w:r>
    </w:p>
    <w:p>
      <w:r>
        <w:t xml:space="preserve">Auf Grund des § 42 Absatz 5 Satz 4 Halbsatz 1, des § 48 Absatz 1 Satz 1, Absatz 1a und des § 55 Absatz 6 Satz 1 des Waffengesetzes vom 11. Oktober 2002 (BGBl. I S. 3970, 4592; 2003 I S. 1957), von denen § 42 Absatz 5 durch Artikel 1 Nummer 1 des Gesetzes vom 5. November 2007 (BGBl. I S. 2557) und § 48 Absatz 1a durch Artikel 1b des Gesetzes vom 25. November 2012 (BGBl. I S. 1381) eingefügt worden ist, verordnet die Staatsregierung:</w:t>
      </w:r>
    </w:p>
    <w:p>
      <w:r>
        <w:rPr>
          <w:color w:val="555555"/>
          <w:sz w:val="17"/>
        </w:rPr>
        <w:t xml:space="preserve">Zitiervorschlag: Eingangsformel SächsWaffGDVO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https://recht.nulegal.eu/gesetze/S%C3%A4chsWaffGDVO/eingangsformel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