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SächsWaffGDVO (Sachsen) — Inkrafttreten, Außerkrafttreten</w:t>
      </w:r>
    </w:p>
    <w:p>
      <w:r>
        <w:rPr>
          <w:color w:val="555555"/>
          <w:sz w:val="18"/>
        </w:rPr>
        <w:t xml:space="preserve">Sächsische Waffengesetzdurchführungsverordnung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Verordnung tritt am Tag nach der Verkündung in Kraft.</w:t>
      </w:r>
    </w:p>
    <w:p>
      <w:r>
        <w:t xml:space="preserve">(2) Gleichzeitig tritt die Verordnung der Sächsischen Staatsregierung zur Durchführung des Waffengesetzes vom 16. April 1991 (SächsGVBl. S. 61), die zuletzt durch Artikel 11 der Verordnung vom 1. März 2012 (SächsGVBl. S. 157) geändert worden ist, außer Kraft.</w:t>
      </w:r>
    </w:p>
    <w:p>
      <w:r>
        <w:t xml:space="preserve">Dresden, den 30. August 2017</w:t>
      </w:r>
    </w:p>
    <w:p>
      <w:r>
        <w:t xml:space="preserve">Der Ministerpräsident</w:t>
      </w:r>
    </w:p>
    <w:p>
      <w:r>
        <w:t xml:space="preserve">Stanislaw Tillich</w:t>
      </w:r>
    </w:p>
    <w:p>
      <w:r>
        <w:t xml:space="preserve">Der Staatsminister des Innern</w:t>
      </w:r>
    </w:p>
    <w:p>
      <w:r>
        <w:t xml:space="preserve">Markus Ulbig</w:t>
      </w:r>
    </w:p>
    <w:p>
      <w:r>
        <w:rPr>
          <w:color w:val="555555"/>
          <w:sz w:val="17"/>
        </w:rPr>
        <w:t xml:space="preserve">Zitiervorschlag: § 6 SächsWaffGDVO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https://recht.nulegal.eu/gesetze/S%C3%A4chsWaffGDVO/6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