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SächsWaffGDVO (Sachsen) — Ermächtigung zur Einrichtung von Waffenverbotszonen</w:t>
      </w:r>
    </w:p>
    <w:p>
      <w:r>
        <w:rPr>
          <w:color w:val="555555"/>
          <w:sz w:val="18"/>
        </w:rPr>
        <w:t xml:space="preserve">Sächsische Waffengesetzdurchführungsverordnung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Befugnis zum Erlass von Rechtsverordnungen nach § 42 Absatz 5 Satz 1 und 2 des Waffengesetzes wird auf das Staatsministerium des Innern übertragen.</w:t>
      </w:r>
    </w:p>
    <w:p>
      <w:r>
        <w:rPr>
          <w:color w:val="555555"/>
          <w:sz w:val="17"/>
        </w:rPr>
        <w:t xml:space="preserve">Zitiervorschlag: § 5 SächsWaffGDVO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https://recht.nulegal.eu/gesetze/S%C3%A4chsWaffGDVO/5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