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SächsWaffGDVO (Sachsen) — Prüfungen</w:t>
      </w:r>
    </w:p>
    <w:p>
      <w:r>
        <w:rPr>
          <w:color w:val="555555"/>
          <w:sz w:val="18"/>
        </w:rPr>
        <w:t xml:space="preserve">Sächsische Waffengesetzdurchführungsverordnung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Prüfung der Sachkunde (§ 7 Absatz 1 des Waffengesetzes) und der Fachkunde (§ 22 Absatz 1 des Waffengesetzes ) ist die Landesdirektion Sachsen zuständig.</w:t>
      </w:r>
    </w:p>
    <w:p>
      <w:r>
        <w:rPr>
          <w:color w:val="555555"/>
          <w:sz w:val="17"/>
        </w:rPr>
        <w:t xml:space="preserve">Zitiervorschlag: § 3 SächsWaffGDVO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https://recht.nulegal.eu/gesetze/S%C3%A4chsWaffGDVO/3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