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SächsWTVO (Sachsen) — Allgemeine Grundsätze</w:t>
      </w:r>
    </w:p>
    <w:p>
      <w:r>
        <w:rPr>
          <w:color w:val="555555"/>
          <w:sz w:val="18"/>
        </w:rPr>
        <w:t xml:space="preserve">Sächsische Wohnteilhabeverordnung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bauliche und räumliche Gestaltung sowie Ausstattung der Gebäude und Räume hat der fachlichen Konzeption Rechnung zu tragen sowie die pflegerischen, behinderungs- und altersbedingten Bedürfnisse der Bewohnerinnen und Bewohner zu berücksichtigen, insbesondere im Hinblick auf Wohnlichkeit, Raumangebot, Sicherheit, Barrierefreiheit, Möglichkeit der Orientierung, Selbständigkeit und Privatsphäre. Bei dem notwendigen Raumangebot nach Satz 1 sind auch die nach der fachlichen Konzeption erforderlichen Therapieräume einzuplanen. Die Räume und Verkehrsflächen sollen so beschaffen sein, dass sich die Bewohnerinnen und Bewohner darin ohne fremde Hilfe sicher bewegen und möglichst selbständig am Gemeinschaftsleben teilnehmen können.</w:t>
      </w:r>
    </w:p>
    <w:p>
      <w:r>
        <w:rPr>
          <w:color w:val="555555"/>
          <w:sz w:val="17"/>
        </w:rPr>
        <w:t xml:space="preserve">Zitiervorschlag: § 3 SächsWTVO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SächsWTVO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