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SächsWTG (Sachsen) — Bestandsregelungen für personelle Anforderungen</w:t>
      </w:r>
    </w:p>
    <w:p>
      <w:r>
        <w:rPr>
          <w:color w:val="555555"/>
          <w:sz w:val="18"/>
        </w:rPr>
        <w:t xml:space="preserve">Sächsisches Wohnteilhabegesetz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Beschäftigte, die keine Fachkräfte sind, aber nach dem Heimgesetz in der Fassung der Bekanntmachung vom 5. November 2001 (BGBl. I S. 2970), das zuletzt durch Artikel 3 Satz 2 des Gesetzes vom 29. Juli 2009 (BGBl. I S. 2319) geändert worden ist, der Heimpersonalverordnung vom 19. Juli 1993 (BGBl. I S. 1205), die zuletzt durch Artikel 1 der Verordnung vom 22. Juni 1998 (BGBl. I S. 1506) geändert worden ist, dem Sächsischen Betreuungs- und Wohnqualitätsgesetzes sowie der Verordnung des Sächsischen Staatsministeriums für Soziales und Verbraucherschutz zur Durchführung des Sächsischen Betreuungs- und Wohnqualitätsgesetzes vom 5. September 2014 (SächsGVBl. S. 504), die zuletzt durch Artikel 2 der Verordnung vom 2. November 2020 (SächsGVBl. S. 627) geändert worden ist, als Fachkräfte bei der Ermittlung der Fachkraftquote berücksichtigt worden sind, werden auch weiterhin berücksichtigt, soweit und solange ihre Tätigkeit nicht Anlass zur Beanstandung in Form von entsprechenden ordnungsbehördlichen Anordnungen gibt.</w:t>
      </w:r>
    </w:p>
    <w:p>
      <w:r>
        <w:t xml:space="preserve">(2) Von der zuständigen Behörde erteilte Befreiungen nach § 3 Absatz 3 Nummer 2 vierter Teilsatz des Sächsischen Betreuungs- und Wohnqualitätsgesetzes haben weiterhin Bestand.</w:t>
      </w:r>
    </w:p>
    <w:p>
      <w:r>
        <w:rPr>
          <w:color w:val="555555"/>
          <w:sz w:val="17"/>
        </w:rPr>
        <w:t xml:space="preserve">Zitiervorschlag: § 36 SächsWTG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https://recht.nulegal.eu/gesetze/S%C3%A4chsWTG/36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