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SächsWPVO (Sachsen)</w:t>
      </w:r>
    </w:p>
    <w:p>
      <w:r>
        <w:rPr>
          <w:color w:val="555555"/>
          <w:sz w:val="18"/>
        </w:rPr>
        <w:t xml:space="preserve">Sächsische Wärmeplanungsverordnung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33 in Verbindung mit § 4 Absatz 3, § 21 Nummer 5, § 22 und § 24 des Wärmeplanungsgesetzes vom 20. Dezember 2023 (BGBl. 2023 I Nr. 394) verordnet die Staatsregierung:</w:t>
      </w:r>
    </w:p>
    <w:p>
      <w:r>
        <w:rPr>
          <w:color w:val="555555"/>
          <w:sz w:val="17"/>
        </w:rPr>
        <w:t xml:space="preserve">Zitiervorschlag: Eingangsformel SächsWPVO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