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SächsWPVO (Sachsen) — Zuständige Stelle nach § 26 Absatz 1 des Wärmeplanungsgesetzes</w:t>
      </w:r>
    </w:p>
    <w:p>
      <w:r>
        <w:rPr>
          <w:color w:val="555555"/>
          <w:sz w:val="18"/>
        </w:rPr>
        <w:t xml:space="preserve">Sächsische Wärmeplanungsverordnung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Entscheidung über die Ausweisung eines Gebiets zum Neu- oder Ausbau von Wärmenetzen nach § 26 des Wärmeplanungsgesetzes trifft die planungsverantwortliche Stelle.</w:t>
      </w:r>
    </w:p>
    <w:p>
      <w:r>
        <w:t xml:space="preserve">(2) Die Entscheidung über die Ausweisung als Wasserstoffnetzausbaugebiet nach § 26 des Wärmeplanungsgesetzes trifft die planungsverantwortliche Stelle im Benehmen mit dem Staatsministerium für Wirtschaft, Arbeit, Energie und Klimaschutz.</w:t>
      </w:r>
    </w:p>
    <w:p>
      <w:r>
        <w:rPr>
          <w:color w:val="555555"/>
          <w:sz w:val="17"/>
        </w:rPr>
        <w:t xml:space="preserve">Zitiervorschlag: § 7 SächsWPVO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https://recht.nulegal.eu/gesetze/S%C3%A4chsWPVO/7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SächsWPVO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