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91c SächsWG (Sachsen) — Verrechnung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Anlagen zur Kreislaufnutzung oder Wiederverwendung von Wasser errichtet oder erweitert, deren Betrieb eine Minderung der Entnahmemenge um mindestens 10 Prozent erwarten lässt, sind auf Antrag der Abgabepflichtigen die für die Errichtung oder Erweiterung entstandenen Aufwendungen mit der Wasserentnahmeabgabe zu verrechnen, die in drei Kalenderjahren vor dem geplanten Termin der Inbetriebnahme der Anlagen geschuldet ist. Ist die Wasserentnahmeabgabe bereits entrichtet worden, entsteht ein entsprechender unverzinslicher Rückzahlungsanspruch.</w:t>
      </w:r>
    </w:p>
    <w:p>
      <w:r>
        <w:t xml:space="preserve">(2) Der nach Absatz 1 zunächst verrechnete Teil der Wasserentnahmeabgabe ist festzusetzen und zu erheben, wenn die Anlage nicht in Betrieb genommen wird oder die Minderung der Entnahmemenge um 10 Prozent, bezogen auf die betrieblichen Verhältnisse zum Zeitpunkt des Antrags, nicht erreicht wird. Die nach Satz 1 festgesetzte und erhobene Wasserentnahmeabgabe ist rückwirkend vom Zeitpunkt der Fälligkeit des nicht verrechneten Teils der Wasserentnahmeabgabe an entsprechend § 238 der Abgabenordnung in der Fassung der Bekanntmachung vom 1. Oktober 2002 (BGBl. I S. 3866, 2003 I S. 61), die zuletzt durch Artikel 1 des Gesetzes vom 12. Juli 2022 (BGBl. I S. 1142), geändert worden ist, in der jeweils geltenden Fassung, zu verzinsen.</w:t>
      </w:r>
    </w:p>
    <w:p>
      <w:r>
        <w:t xml:space="preserve">(3) Bei gleichzeitiger Verrechnung von Aufwendungen mit der Abwasserabgabe nach § 10 Absatz 3 des Abwasserabgabengesetzes in der Fassung der Bekanntmachung vom 18. Januar 2005 (BGBl. I S. 114), das zuletzt durch Artikel 2 der Verordnung vom 22. August 2018 (BGBl. I S. 1327) geändert worden ist, in der jeweils geltenden Fassung, darf die Summe der zu verrechnenden Abgaben die Summe der Aufwendungen nicht überschreiten.</w:t>
      </w:r>
    </w:p>
    <w:p>
      <w:r>
        <w:t xml:space="preserve">(4) Für den Antrag ist ein von der oberen Wasserbehörde zur Verfügung gestelltes Formular zu verwenden. Dabei sind die Angaben durch geeignete Unterlagen nachzuweisen.</w:t>
      </w:r>
    </w:p>
    <w:p>
      <w:r>
        <w:rPr>
          <w:color w:val="555555"/>
          <w:sz w:val="17"/>
        </w:rPr>
        <w:t xml:space="preserve">Zitiervorschlag: § 91c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https://recht.nulegal.eu/gesetze/S%C3%A4chsWG/91c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