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SächsWG (Sachsen) — Zusammentreffen mehrerer Erlaubnis- und Bewilligungsanträge (zu den §§ 8 und 12 WHG)</w:t>
      </w:r>
    </w:p>
    <w:p>
      <w:r>
        <w:rPr>
          <w:color w:val="555555"/>
          <w:sz w:val="18"/>
        </w:rPr>
        <w:t xml:space="preserve">Sächsisches Wassergesetz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Treffen Anträge auf Erteilung einer Erlaubnis oder einer Bewilligung für Benutzungen zusammen, die sich auch dann nicht nebeneinander ausüben lassen, wenn den Anträgen nur teilweise oder unter Bedingungen oder Auflagen stattgegeben wird, so hat das Vorhaben den Vorrang, das den größten Nutzen für das Wohl der Allgemeinheit erwarten lässt. Stehen hiernach mehrere Vorhaben einander gleich, so hat die schon vorhandene Benutzung den Vorrang; im Übrigen sind die stärkere Gebundenheit einer Benutzung an einen bestimmten Ort, die geringere Belästigung anderer sowie die größere Sicherheit, welche die persönlichen und wirtschaftlichen Verhältnisse des Antragstellers für die Ausführung und den Fortbestand der Benutzung bieten, maßgebend.</w:t>
      </w:r>
    </w:p>
    <w:p>
      <w:r>
        <w:rPr>
          <w:color w:val="555555"/>
          <w:sz w:val="17"/>
        </w:rPr>
        <w:t xml:space="preserve">Zitiervorschlag: § 9 SächsWG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https://recht.nulegal.eu/gesetze/S%C3%A4chsWG/9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