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80 SächsWG (Sachsen) — Träger der Bau- und Unterhaltungslast</w:t>
      </w:r>
    </w:p>
    <w:p>
      <w:r>
        <w:rPr>
          <w:color w:val="555555"/>
          <w:sz w:val="18"/>
        </w:rPr>
        <w:t xml:space="preserve">Sächsisches Wassergesetz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Aufgaben nach § 79 obliegen dem Träger der Unterhaltungslast nach § 32, soweit nicht in den Absätzen 2 bis 5 etwas anderes bestimmt ist.</w:t>
      </w:r>
    </w:p>
    <w:p>
      <w:r>
        <w:t xml:space="preserve">(2) Die Aufgaben nach § 79 obliegen dem Freistaat Sachsen</w:t>
      </w:r>
    </w:p>
    <w:p>
      <w:r>
        <w:t xml:space="preserve">1. an der Bundeswasserstraße Elbe,</w:t>
      </w:r>
    </w:p>
    <w:p>
      <w:r>
        <w:t xml:space="preserve">2. für die Talsperren, Wasserspeicher, Hochwasserrückhaltebecken und Flutungspolder mit überörtlicher Bedeutung für den Hochwasserschutz an Gewässern erster Ordnung und an der Bundeswasserstraße Elbe sowie</w:t>
      </w:r>
    </w:p>
    <w:p>
      <w:r>
        <w:t xml:space="preserve">3. für die in Anlage 4 aufgeführten Anlagen an Gewässern zweiter Ordnung;</w:t>
      </w:r>
    </w:p>
    <w:p>
      <w:r>
        <w:t xml:space="preserve">sie werden durch den Staatsbetrieb Landestalsperrenverwaltung wahrgenommen.</w:t>
      </w:r>
    </w:p>
    <w:p>
      <w:r>
        <w:t xml:space="preserve">(3) Die Aufgaben nach § 79 obliegen einem Gewässerunterhaltungsverband oder einem Wasser- und Bodenverband nach dem Wasserverbandsgesetz , soweit seine Satzung dies bestimmt.</w:t>
      </w:r>
    </w:p>
    <w:p>
      <w:r>
        <w:t xml:space="preserve">(4) Ist strittig, wem die Aufgaben nach § 79 obliegen, so entscheidet die zuständige Wasserbehörde. Sie bestimmt auch Art und Umfang der Aufgabenerfüllung. Bis zur Entscheidung der zuständigen Wasserbehörde obliegen die Aufgaben der Gemeinde. Der nach Satz 1 festgestellte Aufgabenträger hat der Gemeinde die notwendigen Aufwendungen zu erstatten.</w:t>
      </w:r>
    </w:p>
    <w:p>
      <w:r>
        <w:t xml:space="preserve">(5) Erfüllt der Aufgabenträger die ihm obliegende Bau- und Unterhaltungslast nicht oder nicht ordnungsgemäß, so hat die Gemeinde die notwendigen Arbeiten auf Kosten des Aufgabenträgers auszuführen; dies gilt nicht, soweit eine Körperschaft öffentlichen Rechts Träger der Bau- und Unterhaltungslast ist. Die Pflicht zur Ersatzvornahme begründet keinen Rechtsanspruch Dritter gegen den zur Ersatzvornahme Verpflichteten. Die nach Satz 1 zu erstattenden Aufwendungen können durch Leistungsbescheid festgesetzt werden.</w:t>
      </w:r>
    </w:p>
    <w:p>
      <w:r>
        <w:t xml:space="preserve">(6) § 62 Abs. 2 und die §§ 65 und 66 gelten entsprechend.</w:t>
      </w:r>
    </w:p>
    <w:p>
      <w:r>
        <w:rPr>
          <w:color w:val="555555"/>
          <w:sz w:val="17"/>
        </w:rPr>
        <w:t xml:space="preserve">Zitiervorschlag: § 80 SächsWG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https://recht.nulegal.eu/gesetze/S%C3%A4chsWG/80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