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SächsWG (Sachsen) — Grundsatz (zu § 6 Abs. 2 und § 67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wesentliche Interessen des Wohls der Allgemeinheit nichts anderes erfordern, soll ein Gewässer nur so ausgebaut werden, dass der vorhandene ökologische Zustand oder das ökologische Potenzial verbessert wird, mindestens aber in seinem bisherigen Umfang erhalten bleibt.</w:t>
      </w:r>
    </w:p>
    <w:p>
      <w:r>
        <w:t xml:space="preserve">(2) Die zuständige Wasserbehörde kann für nicht naturnah ausgebaute Gewässer Fristen bestimmen, innerhalb derer ein naturnaher Gewässerzustand herbeizuführen ist.</w:t>
      </w:r>
    </w:p>
    <w:p>
      <w:r>
        <w:t xml:space="preserve">(3) Die Verrohrung von oberirdischen Gewässern ist nicht zulässig. Befreiungen sind beim Vorliegen zwingender Gründe möglich.</w:t>
      </w:r>
    </w:p>
    <w:p>
      <w:r>
        <w:t xml:space="preserve">(4) Für Vorbereitung und Durchführung baulicher Maßnahmen gelten die §§ 56 bis 58 entsprechend.</w:t>
      </w:r>
    </w:p>
    <w:p>
      <w:r>
        <w:rPr>
          <w:color w:val="555555"/>
          <w:sz w:val="17"/>
        </w:rPr>
        <w:t xml:space="preserve">Zitiervorschlag: § 61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