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SächsWG (Sachsen) — Einleiten von Abwasser in öffentliche Abwasseranlagen (zu § 58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Genehmigung nach § 58 Abs. 1 Satz 1 in Verbindung mit Satz 3 WHG gilt widerruflich als erteilt, wenn</w:t>
      </w:r>
    </w:p>
    <w:p>
      <w:r>
        <w:t xml:space="preserve">1. durch die Behandlung in der öffentlichen Abwasserbehandlungsanlage die Schadstofffracht des Abwassers so vermindert wird, dass die Anforderungen der Rechtsverordnung nach § 23 Abs. 1 Nr. 3 WHG in Verbindung mit § 57 Abs. 2 WHG an das Abwasser vor Vermischung in gleichem Maße wie in einer Abwasserbehandlungsanlage beim Abwassereinleiter eingehalten werden oder</w:t>
      </w:r>
    </w:p>
    <w:p>
      <w:r>
        <w:t xml:space="preserve">2. zur Verminderung der Schadstofffracht nach § 57 Absatz 1 Nummer 1 WHG eine abwassertechnische Einrichtung eingebaut, betrieben sowie regelmäßig gewartet und überprüft wird, für die eine allgemeine bauaufsichtliche Zulassung oder eine Europäische Technische Bewertung nach den Vorschriften der Verordnung (EU) Nr. 305/2011 des Europäischen Parlaments und des Rates vom 9. März 2011 zur Festlegung harmonisierter Bedingungen für die Vermarktung von Bauprodukten und zur Aufhebung der Richtlinie 89/106/EWG des Rates (ABl. L 88 vom 4.4.2011, S. 5, L 103 vom 12.4.2013, S. 10), oder sonstige Bauartzulassung nach § 55 Absatz 4 vorliegt, die die wasserrechtlichen Anforderungen berücksichtigt,</w:t>
      </w:r>
    </w:p>
    <w:p>
      <w:r>
        <w:t xml:space="preserve">und dies der zuständigen Wasserbehörde spätestens einen Monat vor der Einleitung angezeigt wird. Der Anzeige sind die erforderlichen Unterlagen beizufügen.</w:t>
      </w:r>
    </w:p>
    <w:p>
      <w:r>
        <w:rPr>
          <w:color w:val="555555"/>
          <w:sz w:val="17"/>
        </w:rPr>
        <w:t xml:space="preserve">Zitiervorschlag: § 53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