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SächsWG (Sachsen) — Benutzungen und Nutzungen (zu den §§ 8 und 9 WHG)</w:t>
      </w:r>
    </w:p>
    <w:p>
      <w:r>
        <w:rPr>
          <w:color w:val="555555"/>
          <w:sz w:val="18"/>
        </w:rPr>
        <w:t xml:space="preserve">Sächsisches Wassergesetz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Bestimmungen des Wasserhaushaltsgesetzes und dieses Gesetzes über die Benutzungen der Gewässer gelten auch für</w:t>
      </w:r>
    </w:p>
    <w:p>
      <w:r>
        <w:t xml:space="preserve">1. das Errichten und Betreiben von Häfen, Lade- und Löschplätzen und</w:t>
      </w:r>
    </w:p>
    <w:p>
      <w:r>
        <w:t xml:space="preserve">2. das Errichten und Betreiben von Fähren.</w:t>
      </w:r>
    </w:p>
    <w:p>
      <w:r>
        <w:t xml:space="preserve">(2) Für Gewässerbenutzungen, die zu Industrieanlagen im Sinne von § 1 Abs. 3 der Verordnung zur Regelung des Verfahrens bei Zulassung und Überwachung industrieller Abwasserbehandlungsanlagen und Gewässerbenutzungen (Industriekläranlagen- Zulassungs- und Überwachungsverordnung – IZÜV ) vom 2. Mai 2013 (BGBl. I S. 937, 1011), in der jeweils geltenden Fassung, gehören, gelten zusätzlich die Regelungen der Industriekläranlagen-Zulassungs- und Überwachungsverordnung .</w:t>
      </w:r>
    </w:p>
    <w:p>
      <w:r>
        <w:t xml:space="preserve">(3) Nutzungen, die keine Benutzungen nach § 9 Abs. 1 und 2 WHG sind und für die nach dem Wasserhaushaltsgesetz oder diesem Gesetz keine Zulassungsfreiheit vorgesehen ist, bedürfen einer Gestattung durch die zuständige Wasserbehörde. Für die Erteilung der Gestattung gilt § 26 Abs. 2 bis 6 entsprechend. Die Sätze 1 und 2 gelten auch für die wesentliche Änderung einer Nutzung.</w:t>
      </w:r>
    </w:p>
    <w:p>
      <w:r>
        <w:rPr>
          <w:color w:val="555555"/>
          <w:sz w:val="17"/>
        </w:rPr>
        <w:t xml:space="preserve">Zitiervorschlag: § 5 SächsWG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https://recht.nulegal.eu/gesetze/S%C3%A4chsWG/5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SächsWG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