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SächsWG (Sachsen) — Grundsätze der Abwasserbeseitigung (zu § 55 WHG)</w:t>
      </w:r>
    </w:p>
    <w:p>
      <w:r>
        <w:rPr>
          <w:color w:val="555555"/>
          <w:sz w:val="18"/>
        </w:rPr>
        <w:t xml:space="preserve">Sächsisches Wassergesetz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Stoffe, die nicht Abwasser im Sinne des § 54 Abs. 1 WHG sind, dürfen nicht in Abwasseranlagen eingebracht werden. Das gilt nicht</w:t>
      </w:r>
    </w:p>
    <w:p>
      <w:r>
        <w:t xml:space="preserve">1. für Stoffe, die zum Zwecke der Behandlung im Rahmen der für die Abwasseranlage geltenden Bestimmungen eingebracht werden,</w:t>
      </w:r>
    </w:p>
    <w:p>
      <w:r>
        <w:t xml:space="preserve">2. bei einer Beseitigung nach § 55 Abs. 3 WHG .</w:t>
      </w:r>
    </w:p>
    <w:p>
      <w:r>
        <w:t xml:space="preserve">Wasser aus der Grundwasserhaltung von Baugruben darf mit Zustimmung des Abwasserbeseitigungspflichtigen und des Betreibers der Abwasserbeseitigungsanlage eingebracht werden.</w:t>
      </w:r>
    </w:p>
    <w:p>
      <w:r>
        <w:t xml:space="preserve">(2) Die oberste Wasserbehörde kann durch Verwaltungsvorschrift weitere Grundsätze für die Abwasserbeseitigung nach überörtlichen Gesichtspunkten sowie Termine für die Errichtung und Inbetriebnahme der Abwasseranlagen festlegen. Die Verwaltungsvorschrift nach Satz 1 wird im Sächsischen Amtsblatt veröffentlicht.</w:t>
      </w:r>
    </w:p>
    <w:p>
      <w:r>
        <w:rPr>
          <w:color w:val="555555"/>
          <w:sz w:val="17"/>
        </w:rPr>
        <w:t xml:space="preserve">Zitiervorschlag: § 49 SächsWG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https://recht.nulegal.eu/gesetze/S%C3%A4chsWG/49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