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45 SächsWG (Sachsen) — Schutz der Wasservorkommen, Eigenkontrolle (zu § 50 WHG)</w:t>
      </w:r>
    </w:p>
    <w:p>
      <w:r>
        <w:rPr>
          <w:color w:val="555555"/>
          <w:sz w:val="18"/>
        </w:rPr>
        <w:t xml:space="preserve">Sächsisches Wassergesetz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Träger der öffentlichen Wasserversorgung hat seine Anlagen zu überwachen sowie für ein zugehöriges Wasserschutzgebiet übertragene Aufgaben im Sinne von § 100 Abs. 1 Satz 1 WHG wahrzunehmen. Er hat Gefahren unverzüglich der zuständigen Wasserbehörde mitzuteilen und auf eine Begrenzung des Schadens hinzuwirken. Solange ein Wasserschutzgebiet noch nicht festgesetzt ist, gilt die Verpflichtung nach Satz 1 und 2 für das Wassereinzugsgebiet der Wassergewinnungsanlage. § 107 Abs. 2 gilt entsprechend.</w:t>
      </w:r>
    </w:p>
    <w:p>
      <w:r>
        <w:t xml:space="preserve">(2) Die Ermächtigung zum Erlass von Rechtsverordnungen nach § 50 Abs. 5 WHG wird auf die oberste Wasserbehörde übertragen. In der Rechtsverordnung nach § 50 Abs. 5 WHG können auch Regelungen über Art, Umfang und Häufigkeit der Maßnahmen zur Überwachung der Grundwasserverhältnisse und des Rohwassers, insbesondere der Probenahme und -untersuchung, sowie über den Zeitpunkt, die Form und den Empfänger der Untersuchungsergebnisse und der zu ihrer Beurteilung erforderlichen Angaben zu den Probenahmestellen getroffen werden.</w:t>
      </w:r>
    </w:p>
    <w:p>
      <w:r>
        <w:rPr>
          <w:color w:val="555555"/>
          <w:sz w:val="17"/>
        </w:rPr>
        <w:t xml:space="preserve">Zitiervorschlag: § 45 SächsWG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https://recht.nulegal.eu/gesetze/S%C3%A4chsWG/45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45 SächsWG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