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SächsWG (Sachsen) — Erdaufschlüsse (zu § 49 WHG)</w:t>
      </w:r>
    </w:p>
    <w:p>
      <w:r>
        <w:rPr>
          <w:color w:val="555555"/>
          <w:sz w:val="18"/>
        </w:rPr>
        <w:t xml:space="preserve">Sächsisches Wassergesetz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Anzeige nach § 49 Abs. 1 Satz 1 WHG sind die zur Überwachung des Vorhabens erforderlichen Unterlagen beizufügen. Bei erlaubnispflichtigen Gewässerbenutzungen gilt der Antrag auf Erlaubnis als Anzeige nach § 49 Abs. 1 Satz 1 WHG ; in diesen Fällen kommt Satz 3 nicht zur Anwendung. Ist seit der Anzeige nach § 49 Abs. 1 Satz 1 WHG ein Monat vergangen, ohne dass eine Einstellungs- oder Beseitigungsanordnung nach § 49 Abs. 3 WHG ergangen ist, können die Arbeiten begonnen und so lange durchgeführt werden, bis auf das Grundwasser eingewirkt wird.</w:t>
      </w:r>
    </w:p>
    <w:p>
      <w:r>
        <w:t xml:space="preserve">(2) Die Arbeiten, die gemäß § 49 Abs. 2 WHG zur Erschließung geführt haben, sind, bis die Gewässerbenutzung oder der Gewässerausbau vorzeitig zugelassen oder die erforderliche Erlaubnis oder der Plan festgestellt oder genehmigt ist, einzustellen.</w:t>
      </w:r>
    </w:p>
    <w:p>
      <w:r>
        <w:t xml:space="preserve">(3) Unterstehen Erdarbeiten der Aufsicht der Bergbehörde, bedarf es keiner Anzeige nach § 49 Abs. 1 Satz 1 WHG; die Anzeige nach § 49 Abs. 2 WHG ist an die Bergbehörde zu richten. Die zuständige Bergbehörde trifft anstelle der Wasserbehörde die nach § 49 Abs. 3 WHG erforderlichen Anordnungen im Einvernehmen mit der zuständigen Wasserbehörde.</w:t>
      </w:r>
    </w:p>
    <w:p>
      <w:r>
        <w:t xml:space="preserve">(4) Die Kosten der Überwachung fallen dem Unternehmer zur Last.</w:t>
      </w:r>
    </w:p>
    <w:p>
      <w:r>
        <w:rPr>
          <w:color w:val="555555"/>
          <w:sz w:val="17"/>
        </w:rPr>
        <w:t xml:space="preserve">Zitiervorschlag: § 41 SächsWG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https://recht.nulegal.eu/gesetze/S%C3%A4chsWG/41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