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SächsWG (Sachsen) — Erweiterung und Beschränkung der erlaubnisfreien Benutzung (zu § 46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Soweit es die Ordnung des Wasserhaushalts erfordert, kann die oberste Wasserbehörde durch Rechtsverordnung allgemein oder für einzelne Gebiete bestimmen, dass bei erlaubnis- oder bewilligungsfreien Benutzungen im Sinne von § 46 Abs. 1 und 2 WHG eine Erlaubnis oder Bewilligung erforderlich ist.</w:t>
      </w:r>
    </w:p>
    <w:p>
      <w:r>
        <w:t xml:space="preserve">(2) Soweit die Ordnung des Wasserhaushalts es zulässt, soll die oberste Wasserbehörde durch Rechtsverordnung allgemein oder für einzelne Gebiete bestimmen, dass über die in § 46 Abs. 1 und 2 WHG bezeichneten Zwecke hinaus für das Entnehmen, Zutagefördern, Zutageleiten oder Ableiten von Grundwasser in geringen Mengen für die Landwirtschaft, die Forstwirtschaft oder den Gartenbau sowie für das Ableiten von Niederschlagswasser in das Grundwasser, soweit dessen Beeinträchtigung nicht zu besorgen ist, eine Erlaubnis nicht erforderlich ist.</w:t>
      </w:r>
    </w:p>
    <w:p>
      <w:r>
        <w:rPr>
          <w:color w:val="555555"/>
          <w:sz w:val="17"/>
        </w:rPr>
        <w:t xml:space="preserve">Zitiervorschlag: § 40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https://recht.nulegal.eu/gesetze/S%C3%A4chsWG/40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