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SächsWG (Sachsen) — Bewirtschaftung der Gewässer nach Flussgebietseinheiten (zu § 7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Bewirtschaftung der Gewässer nach Flussgebietseinheiten nach § 7 WHG werden</w:t>
      </w:r>
    </w:p>
    <w:p>
      <w:r>
        <w:t xml:space="preserve">1. der Flussgebietseinheit Elbe die im Einzugsgebiet der Elbe liegenden oberirdischen Gewässer im Freistaat Sachsen sowie das Grundwasser zugeordnet und</w:t>
      </w:r>
    </w:p>
    <w:p>
      <w:r>
        <w:t xml:space="preserve">2. der Flussgebietseinheit Oder die im Einzugsgebiet der Oder liegenden oberirdischen Gewässer im Freistaat Sachsen sowie das Grundwasser zugeordnet.</w:t>
      </w:r>
    </w:p>
    <w:p>
      <w:r>
        <w:t xml:space="preserve">Die im Freistaat Sachsen liegenden Teile der Flussgebietseinheiten sind in der Anlage 1 in Kartenform dargestellt.</w:t>
      </w:r>
    </w:p>
    <w:p>
      <w:r>
        <w:rPr>
          <w:color w:val="555555"/>
          <w:sz w:val="17"/>
        </w:rPr>
        <w:t xml:space="preserve">Zitiervorschlag: § 4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