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SächsWG (Sachsen) — Grundsätze (zu den §§ 47 und 48 WHG)</w:t>
      </w:r>
    </w:p>
    <w:p>
      <w:r>
        <w:rPr>
          <w:color w:val="555555"/>
          <w:sz w:val="18"/>
        </w:rPr>
        <w:t xml:space="preserve">Sächsisches Wassergesetz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Grundwasserneubildung darf durch Versiegelung des Bodens und andere Beeinträchtigungen der Versickerung nicht über das notwendige Maß hinaus behindert werden.</w:t>
      </w:r>
    </w:p>
    <w:p>
      <w:r>
        <w:t xml:space="preserve">(2) Grundwasserentnahmen sind auf das unbedingt erforderliche Maß zu beschränken. Bei Grundwasserentnahmen genießt die öffentliche Wasserversorgung Vorrang vor allen anderen Nutzungen des Grundwassers.</w:t>
      </w:r>
    </w:p>
    <w:p>
      <w:r>
        <w:t xml:space="preserve">(3) Die zuständige Wasserbehörde kann von einem Benutzer des Grundwassers fordern, das entnommene Grundwasser nach der Benutzung wieder dem Untergrund zuzuführen, wenn es das Wohl der Allgemeinheit erfordert.</w:t>
      </w:r>
    </w:p>
    <w:p>
      <w:r>
        <w:t xml:space="preserve">(4) Vor der Benutzung des Grundwassers kann vom Antragsteller ein Gutachten über die Auswirkungen der Grundwasserbenutzung auf den Wasser- und Naturhaushalt und bestehende Versorgungssysteme gefordert werden.</w:t>
      </w:r>
    </w:p>
    <w:p>
      <w:r>
        <w:rPr>
          <w:color w:val="555555"/>
          <w:sz w:val="17"/>
        </w:rPr>
        <w:t xml:space="preserve">Zitiervorschlag: § 39 SächsWG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https://recht.nulegal.eu/gesetze/S%C3%A4chsWG/39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