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SächsWG (Sachsen) — Beteiligung am Unterhaltungsaufwand (zu den §§ 39 und 40 Abs. 1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Gemeinden und Gewässerunterhaltungsverbände können durch Satzung bestimmen, dass Anlieger, Hinterlieger, Eigentümer und Besitzer von Grundstücken, Inhaber von Wasserbenutzungsrechten und von wasserwirtschaftlichen Anlagen, denen durch die Unterhaltung des Gewässers und der Ufer ein Vorteil entsteht, für den der Gemeinde oder dem Gewässerunterhaltungsverband entstehenden Unterhaltungsaufwand nach dem Verhältnis des Vorteils eine Gewässerunterhaltungsabgabe zu leisten haben.</w:t>
      </w:r>
    </w:p>
    <w:p>
      <w:r>
        <w:t xml:space="preserve">(2) Der private Eigentümer eines Gewässerbettes hat zu den Aufwendungen des Freistaates Sachsen oder der Gemeinde für die Unterhaltung des ihm gehörenden Teils des Gewässers einen Beitrag nach Maß des Vorteils dieser Aufwendungen zu leisten, wenn diese mit einem konkret nachweisbaren höheren Vorteil verbunden sind. Vor der Berechnung des Beitrags sind Beiträge Dritter abzusetzen.</w:t>
      </w:r>
    </w:p>
    <w:p>
      <w:r>
        <w:rPr>
          <w:color w:val="555555"/>
          <w:sz w:val="17"/>
        </w:rPr>
        <w:t xml:space="preserve">Zitiervorschlag: § 37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https://recht.nulegal.eu/gesetze/S%C3%A4chsWG/37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