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 SächsWG (Sachsen) — Behördliche Entscheidungen zur Gewässerunterhaltung (zu § 40 Abs. 3 und § 42 Abs. 2 WHG)</w:t>
      </w:r>
    </w:p>
    <w:p>
      <w:r>
        <w:rPr>
          <w:color w:val="555555"/>
          <w:sz w:val="18"/>
        </w:rPr>
        <w:t xml:space="preserve">Sächsisches Wassergesetz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Ist der Träger der Unterhaltungslast eine Körperschaft des öffentlichen Rechts, können die nach § 40 Abs. 3 WHG zu erstattenden Aufwendungen durch Leistungsbescheid festgesetzt werden.</w:t>
      </w:r>
    </w:p>
    <w:p>
      <w:r>
        <w:rPr>
          <w:color w:val="555555"/>
          <w:sz w:val="17"/>
        </w:rPr>
        <w:t xml:space="preserve">Zitiervorschlag: § 35 SächsWG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https://recht.nulegal.eu/gesetze/S%C3%A4chsWG/35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 SächsWG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