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SächsWG (Sachsen) — Übertragung der Unterhaltungslast (zu § 40 Abs. 2 WHG)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Ist der Freistaat Sachsen Träger der Unterhaltungslast, gilt abweichend von § 40 Abs. 2 WHG das Zustimmungserfordernis nicht.</w:t>
      </w:r>
    </w:p>
    <w:p>
      <w:r>
        <w:t xml:space="preserve">(2) Die Zustimmung kann widerrufen werden, wenn der Dritte die ihm übertragenen Verpflichtungen nicht ordnungsgemäß erfüllt.</w:t>
      </w:r>
    </w:p>
    <w:p>
      <w:r>
        <w:t xml:space="preserve">(3) Die zuständige Wasserbehörde kann auf Antrag oder von Amts wegen die Unterhaltungslast ganz oder teilweise auf die in § 40 Abs. 1 WHG genannten Beteiligten übertragen, wenn und soweit die Unterhaltung deren Interessen dient oder der Aufwand für die Unterhaltung durch die Beteiligten verursacht wird.</w:t>
      </w:r>
    </w:p>
    <w:p>
      <w:r>
        <w:rPr>
          <w:color w:val="555555"/>
          <w:sz w:val="17"/>
        </w:rPr>
        <w:t xml:space="preserve">Zitiervorschlag: § 33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https://recht.nulegal.eu/gesetze/S%C3%A4chsWG/33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