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22 SächsWG (Sachsen) — Ablassen von Wasser</w:t>
      </w:r>
    </w:p>
    <w:p>
      <w:r>
        <w:rPr>
          <w:color w:val="555555"/>
          <w:sz w:val="18"/>
        </w:rPr>
        <w:t xml:space="preserve">Sächsisches Wassergesetz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Aufgestautes Wasser darf, sofern die zuständige Wasserbehörde nichts anderes bestimmt hat, nur so abgelassen werden, dass für andere keine Gefahren oder Nachteile entstehen können, die Ausübung von Wasserbenutzungsrechten und -befugnissen und die ökologischen Funktionen des Gewässers nicht mehr als unvermeidbar beeinträchtigt sowie die Unterhaltung des Gewässers nicht erschwert werden. Der zum Ablassen eines Gewässers Berechtigte hat der zuständigen Wasserbehörde Beginn und voraussichtliche Dauer des Ablassens mindestens zehn Tage vorher schriftlich oder elektronisch mitzuteilen. Die Frist des Satzes 2 gilt nicht für Notfälle; in diesen Fällen hat die Anzeige unverzüglich zu erfolgen. Das Sächsische Fischereigesetz bleibt unberührt.</w:t>
      </w:r>
    </w:p>
    <w:p>
      <w:r>
        <w:rPr>
          <w:color w:val="555555"/>
          <w:sz w:val="17"/>
        </w:rPr>
        <w:t xml:space="preserve">Zitiervorschlag: § 22 SächsWG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https://recht.nulegal.eu/gesetze/S%C3%A4chsWG/22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22 SächsWG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