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123 SächsWG (Sachsen) — Schutzgebiete und Planungsgebiete</w:t>
      </w:r>
    </w:p>
    <w:p>
      <w:r>
        <w:rPr>
          <w:color w:val="555555"/>
          <w:sz w:val="18"/>
        </w:rPr>
        <w:t xml:space="preserve">Sächsisches Wassergesetz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 der Grundlage des Gesetzes über den Schutz, die Nutzung und die Instandhaltung der Gewässer und den Schutz vor Hochwassergefahren – Wassergesetz – vom 17. April 1963 (GBl. DDR I S. 77) und des Wassergesetzes vom 2. Juli 1982 (GBl. DDR I S. 467) getroffenen oder aufrecht erhaltenen Beschlüsse über Trinkwasserschutzgebiete nach § 29 des Wassergesetzes vom 2. Juli 1982 für die öffentliche Trinkwasserversorgung und Hochwassergebiete nach § 36 des Wassergesetzes vom 2. Juli 1982 gelten bis zum Erlass neuer Rechtsverordnungen auf der Grundlage dieses Gesetzes weiter, soweit das Wasserhaushaltsgesetz und dieses Gesetz nicht entgegenstehen.</w:t>
      </w:r>
    </w:p>
    <w:p>
      <w:r>
        <w:rPr>
          <w:color w:val="555555"/>
          <w:sz w:val="17"/>
        </w:rPr>
        <w:t xml:space="preserve">Zitiervorschlag: § 123 SächsWG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https://recht.nulegal.eu/gesetze/S%C3%A4chsWG/123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123 SächsWG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