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SächsWG (Sachsen) — Sicherheitsleistung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Wasserbehörde kann die Leistung einer Sicherheit verlangen, soweit sie erforderlich ist, um die Erfüllung von Bedingungen, Auflagen und sonstigen Verpflichtungen zu sichern oder finanzielle Risiken abzudecken, die bei Unfällen oder Betriebsstörungen entstehen können. Der Freistaat Sachsen und sonstige Körperschaften des öffentlichen Rechts sind von der Sicherheitsleistung frei. Auf Sicherheitsleistungen sind die §§ 232 bis 240 BGB anzuwenden.</w:t>
      </w:r>
    </w:p>
    <w:p>
      <w:r>
        <w:t xml:space="preserve">(2) Ist der Grund für die Sicherheit weggefallen, so ist dem Begünstigten eine Frist zu setzen, binnen derer er die Einwilligung in die Rückgabe der Sicherheit zu erklären hat. Nach Ablauf der Frist ist die Rückgabe der Sicherheit anzuordnen, wenn nicht inzwischen die Erhebung der Klage nachgewiesen ist.</w:t>
      </w:r>
    </w:p>
    <w:p>
      <w:r>
        <w:rPr>
          <w:color w:val="555555"/>
          <w:sz w:val="17"/>
        </w:rPr>
        <w:t xml:space="preserve">Zitiervorschlag: § 116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https://recht.nulegal.eu/gesetze/S%C3%A4chsWG/116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