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SächsVwVG (Sachsen) — Ermittlung des Aufenthaltsorts des Vollstreckungsschuldners</w:t>
      </w:r>
    </w:p>
    <w:p>
      <w:r>
        <w:rPr>
          <w:color w:val="555555"/>
          <w:sz w:val="18"/>
        </w:rPr>
        <w:t xml:space="preserve">Verwaltungsvollstreckungsgesetz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der Wohnsitz oder der gewöhnliche Aufenthaltsort des Vollstreckungsschuldners nicht durch Anfrage bei der Meldebehörde zu ermitteln, darf die Vollstreckungsbehörde folgende Angaben erheben:</w:t>
      </w:r>
    </w:p>
    <w:p>
      <w:r>
        <w:t xml:space="preserve">1. beim Ausländerzentralregister die Angaben zur aktenführenden Ausländerbehörde und die Angaben zum Zuzug oder Fortzug des Vollstreckungsschuldners sowie bei der Ausländerbehörde, die nach der Auskunft aus dem Ausländerzentralregister aktenführend ist, den Aufenthaltsort des Vollstreckungsschuldners,</w:t>
      </w:r>
    </w:p>
    <w:p>
      <w:r>
        <w:t xml:space="preserve">2. bei den Trägern der gesetzlichen Rentenversicherung und bei einer berufsständischen Versorgungseinrichtung im Sinne des § 6 Absatz 1 Satz 1 Nummer 1 des Sechsten Buches Sozialgesetzbuch die dort bekannte derzeitige Anschrift und den derzeitigen oder zukünftigen Aufenthaltsort des Vollstreckungsschuldners sowie</w:t>
      </w:r>
    </w:p>
    <w:p>
      <w:r>
        <w:t xml:space="preserve">3. beim Kraftfahrt-Bundesamt die Halterdaten nach § 35 Absatz 4c Nummer 2 des Straßenverkehrsgesetzes in der Fassung der Bekanntmachung vom 5. März 2003 (BGBl. I S. 310, 919), das zuletzt durch Artikel 8 des Gesetzes vom 21. November 2023 (BGBl. I Nr. 315) geändert worden ist, in der jeweils geltenden Fassung.</w:t>
      </w:r>
    </w:p>
    <w:p>
      <w:r>
        <w:t xml:space="preserve">(2) Die Vollstreckungsbehörde darf die gegenwärtigen Anschriften, den Ort der Hauptniederlassung oder den Sitz des Vollstreckungsschuldners erheben</w:t>
      </w:r>
    </w:p>
    <w:p>
      <w:r>
        <w:t xml:space="preserve">1. durch Einsicht in das Handels-, Genossenschafts-, Partnerschafts-, Unternehmens- oder Vereinsregister,</w:t>
      </w:r>
    </w:p>
    <w:p>
      <w:r>
        <w:t xml:space="preserve">2. durch Einholung von Auskünften bei den Behörden, welche für die Durchführung der Aufgaben nach § 14 Absatz 1 der Gewerbeordnung in der Fassung der Bekanntmachung vom 22. Februar 1999 (BGBl. I S. 202), die zuletzt durch Artikel 11 des Gesetzes vom 28. Juni 2023 (BGBl. I Nr. 172) geändert worden ist, in der jeweils geltenden Fassung, zuständig sind.</w:t>
      </w:r>
    </w:p>
    <w:p>
      <w:r>
        <w:t xml:space="preserve">(3) Nach Absatz 1 Nummer 2 und Absatz 2 erhobene Daten, die innerhalb der letzten drei Monate bei der Vollstreckungsbehörde eingegangen sind, darf sie einer weiteren Vollstreckungsbehörde übermitteln, wenn die Voraussetzungen für die Datenerhebung auch bei dieser vorliegen.</w:t>
      </w:r>
    </w:p>
    <w:p>
      <w:r>
        <w:t xml:space="preserve">(4) Ist der Vollstreckungsschuldner Unionsbürgerin oder Unionsbürger, so darf die Vollstreckungsbehörde die Daten nach Absatz 1 Nummer 1 nur erheben, wenn ihr tatsächliche Anhaltspunkte für die Vermutung vorliegen, dass bei der betroffenen Person das Nichtbestehen oder der Verlust des Freizügigkeitsrechts festgestellt worden ist. Eine Übermittlung der Daten an die Vollstreckungsbehörde ist ausgeschlossen, wenn eine solche Feststellung nicht vorliegt.</w:t>
      </w:r>
    </w:p>
    <w:p>
      <w:r>
        <w:rPr>
          <w:color w:val="555555"/>
          <w:sz w:val="17"/>
        </w:rPr>
        <w:t xml:space="preserve">Zitiervorschlag: § 5a SächsVwVG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https://recht.nulegal.eu/gesetze/S%C3%A4chsVwVG/5a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