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SächsVwVG (Sachsen) — Vollstreckungsschuldner</w:t>
      </w:r>
    </w:p>
    <w:p>
      <w:r>
        <w:rPr>
          <w:color w:val="555555"/>
          <w:sz w:val="18"/>
        </w:rPr>
        <w:t xml:space="preserve">Verwaltungsvollstreckungsgesetz für den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Als Vollstreckungsschuldner kann in Anspruch genommen werden, wer</w:t>
      </w:r>
    </w:p>
    <w:p>
      <w:r>
        <w:t xml:space="preserve">1. eine Leistung aufgrund des zu vollstreckenden Verwaltungsaktes schuldet,</w:t>
      </w:r>
    </w:p>
    <w:p>
      <w:r>
        <w:t xml:space="preserve">2. für eine Leistung, die ein anderer aufgrund des zu vollstreckenden Verwaltungsaktes schuldet, persönlich haftet, oder</w:t>
      </w:r>
    </w:p>
    <w:p>
      <w:r>
        <w:t xml:space="preserve">3. in den Fällen des § 1 Absatz 3 in der Zahlungsaufforderung nach § 17b Absatz 2 Satz 1 als zahlungspflichtig benannt ist.</w:t>
      </w:r>
    </w:p>
    <w:p>
      <w:r>
        <w:t xml:space="preserve">(2) Wer zur Duldung der Vollstreckung verpflichtet ist, steht dem Vollstreckungsschuldner gleich, soweit seine Duldungspflicht reicht.</w:t>
      </w:r>
    </w:p>
    <w:p>
      <w:r>
        <w:t xml:space="preserve">(3) Gegen den Rechtsnachfolger kann die Vollstreckung eingeleitet oder fortgesetzt werden, soweit er durch den Verwaltungsakt verpflichtet wird und die Voraussetzungen der Vollstreckung für seine Person vorliegen. Ist die Vollstreckung beim Tode des Vollstreckungsschuldners bereits eingeleitet, so kann sie in den Nachlass fortgesetzt werden, auch wenn die Voraussetzungen der Vollstreckung für den Rechtsnachfolger nicht vorliegen.</w:t>
      </w:r>
    </w:p>
    <w:p>
      <w:r>
        <w:rPr>
          <w:color w:val="555555"/>
          <w:sz w:val="17"/>
        </w:rPr>
        <w:t xml:space="preserve">Zitiervorschlag: § 3 SächsVwVG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https://recht.nulegal.eu/gesetze/S%C3%A4chsVwVG/3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SächsVwVG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