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SächsVwVG (Sachsen) — Vollstreckung bei Gefahr im Verzug</w:t>
      </w:r>
    </w:p>
    <w:p>
      <w:r>
        <w:rPr>
          <w:color w:val="555555"/>
          <w:sz w:val="18"/>
        </w:rPr>
        <w:t xml:space="preserve">Verwaltungsvollstreckungsgesetz für den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§ 3 Absatz 3, §§ 5, 8, 9 und 20 Absatz 1 kann abgewichen werden, soweit dies zur Verhinderung einer unmittelbar bevorstehenden Störung der öffentlichen Sicherheit oder zur Beseitigung einer bereits eingetretenen Störung erforderlich ist.</w:t>
      </w:r>
    </w:p>
    <w:p>
      <w:r>
        <w:rPr>
          <w:color w:val="555555"/>
          <w:sz w:val="17"/>
        </w:rPr>
        <w:t xml:space="preserve">Zitiervorschlag: § 21 SächsVwVG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https://recht.nulegal.eu/gesetze/S%C3%A4chsVwVG/21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