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 SächsVwVG (Sachsen) — Allgemeine Voraussetzungen der Verwaltungsvollstreckung</w:t>
      </w:r>
    </w:p>
    <w:p>
      <w:r>
        <w:rPr>
          <w:color w:val="555555"/>
          <w:sz w:val="18"/>
        </w:rPr>
        <w:t xml:space="preserve">Verwaltungsvollstreckungsgesetz für den Freistaat Sachsen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Ein Verwaltungsakt, der zu einer Zahlung, einer sonstigen Handlung, einer Duldung oder Unterlassung verpflichtet, kann vollstreckt werden, wenn er</w:t>
      </w:r>
    </w:p>
    <w:p>
      <w:r>
        <w:t xml:space="preserve">1. unanfechtbar geworden ist oder</w:t>
      </w:r>
    </w:p>
    <w:p>
      <w:r>
        <w:t xml:space="preserve">2. ein gegen ihn gerichteter Rechtsbehelf keine aufschiebende Wirkung hat.</w:t>
      </w:r>
    </w:p>
    <w:p>
      <w:r>
        <w:rPr>
          <w:color w:val="555555"/>
          <w:sz w:val="17"/>
        </w:rPr>
        <w:t xml:space="preserve">Zitiervorschlag: § 2 SächsVwVG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https://recht.nulegal.eu/gesetze/S%C3%A4chsVwVG/2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 SächsVwVG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