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SächsVwVG (Sachsen) — Fälligkeit, Mahnung</w:t>
      </w:r>
    </w:p>
    <w:p>
      <w:r>
        <w:rPr>
          <w:color w:val="555555"/>
          <w:sz w:val="18"/>
        </w:rPr>
        <w:t xml:space="preserve">Verwaltungsvollstreckungsgesetz für den Freistaat Sachsen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Beitreibung ist nur zulässig, soweit die beizutreibende Forderung fällig ist.</w:t>
      </w:r>
    </w:p>
    <w:p>
      <w:r>
        <w:t xml:space="preserve">(2) Vor der Beitreibung ist der Schuldner von der Behörde, die den Verwaltungsakt erlassen hat, durch verschlossenes Schreiben zu mahnen.</w:t>
      </w:r>
    </w:p>
    <w:p>
      <w:r>
        <w:t xml:space="preserve">(3) Bei regelmäßig wiederkehrenden Geldleistungen kann die Mahnung durch ortsübliche Bekanntmachung erfolgen.</w:t>
      </w:r>
    </w:p>
    <w:p>
      <w:r>
        <w:t xml:space="preserve">(4) In der Mahnung ist für die Zahlung eine Frist von mindestens einer Woche zu bestimmen.</w:t>
      </w:r>
    </w:p>
    <w:p>
      <w:r>
        <w:t xml:space="preserve">(5) Einer Mahnung bedarf es nicht, wenn dadurch der Zweck der Vollstreckung gefährdet würde oder wenn Zwangsgeld, Kosten der Vollstreckung sowie Nebenforderungen beigetrieben werden sollen.</w:t>
      </w:r>
    </w:p>
    <w:p>
      <w:r>
        <w:rPr>
          <w:color w:val="555555"/>
          <w:sz w:val="17"/>
        </w:rPr>
        <w:t xml:space="preserve">Zitiervorschlag: § 13 SächsVwVG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https://recht.nulegal.eu/gesetze/S%C3%A4chsVwVG/13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