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SächsVwOrgG (Sachsen) — Aufbau und Aufgaben im Geschäftsbereich des Staatsministeriums der Finanzen</w:t>
      </w:r>
    </w:p>
    <w:p>
      <w:r>
        <w:rPr>
          <w:color w:val="555555"/>
          <w:sz w:val="18"/>
        </w:rPr>
        <w:t xml:space="preserve">Sächsisches Verwaltungsorganisationsgesetz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Staatsministerium der Finanzen sind unmittelbar nachgeordnet</w:t>
      </w:r>
    </w:p>
    <w:p>
      <w:r>
        <w:t xml:space="preserve">1. das Landesamt für Steuern und Finanzen als Oberbehörde im Sinne von § 2 Absatz 1 Nummer 2 des Finanzverwaltungsgesetzes in der Fassung der Bekanntmachung vom 4. April 2006 (BGBl. I S. 846, 1202), das zuletzt durch Artikel 22 des Gesetzes vom 2. Dezember 2024 (BGBl. 2024 I Nr. 387) geändert worden ist, in der jeweils geltenden Fassung,</w:t>
      </w:r>
    </w:p>
    <w:p>
      <w:r>
        <w:t xml:space="preserve">2. das Landesrechenzentrum Steuern im Staatsbetrieb Sächsische Informatik Dienste als Oberbehörde im Sinne von § 2 Absatz 1 Nummer 2 und Absatz 2 Satz 1 des Finanzverwaltungsgesetzes ,</w:t>
      </w:r>
    </w:p>
    <w:p>
      <w:r>
        <w:t xml:space="preserve">3. der Staatsbetrieb Sächsisches Immobilien- und Baumanagement sowie</w:t>
      </w:r>
    </w:p>
    <w:p>
      <w:r>
        <w:t xml:space="preserve">4. die Stiftung „Fürst-Pückler-Park Bad Muskau“ als Sondervermögen.</w:t>
      </w:r>
    </w:p>
    <w:p>
      <w:r>
        <w:t xml:space="preserve">Dem Landesamt für Steuern und Finanzen sind die Finanzämter nachgeordnet.</w:t>
      </w:r>
    </w:p>
    <w:p>
      <w:r>
        <w:t xml:space="preserve">(2) Die in Absatz 1 genannten Behörden nehmen die in den jeweiligen Fachgesetzen beschriebenen Aufgaben wahr. Das Landesamt für Steuern und Finanzen ist zuständig für die Festsetzung, Anordnung und Abrechnung der Zuführungen und Erstattungen des Generationenfonds sowie der Versorgungsrücklage des Freistaates Sachsen. Darüber hinaus nimmt das Landesamt für Steuern und Finanzen insbesondere die Aufgaben der Bezüge zahlenden Stelle, der Hauptkasse des Freistaates Sachsen und der Abwicklung von Verkehrsunfällen mit Beteiligung von Fahrzeugen des Freistaates Sachsen wahr. Das Landesamt für Steuern und Finanzen kann für die Behörden und Einrichtungen des Freistaates Sachsen die Berechnung und Anordnung der Reisekostenvergütung durchführen sowie die Bezüge- und Beihilfeabrechnung für Dritte durchführen, wenn dies im öffentlichen Interesse liegt. Der Staatsbetrieb Sächsisches Immobilien- und Baumanagement nimmt die Aufgaben der Hochbau- und Immobilienverwaltung insbesondere im Rahmen der Behördenunterbringung sowie des ressortübergreifenden Flächenmanagements einschließlich des Kompensationsmanagements wahr. Er ist außerdem für die Sicherung des Landesvermögens und für die Abwicklung von Fiskalerbschaften zuständig.</w:t>
      </w:r>
    </w:p>
    <w:p>
      <w:r>
        <w:t xml:space="preserve">(3) Die Stiftung „Fürst-Pückler-Park Bad Muskau“ erhält das gesamtstaatlich-kulturhistorisch bedeutsame Ensemble des Fürst-Pückler-Parks Bad Muskau nach historischem Vorbild und entsprechend den Kriterien des Übereinkommens vom 16. November 1972 zum Schutz des Kultur- und Naturerbes der Welt (BGBl. 1977 II S. 213, 215).</w:t>
      </w:r>
    </w:p>
    <w:p>
      <w:r>
        <w:rPr>
          <w:color w:val="555555"/>
          <w:sz w:val="17"/>
        </w:rPr>
        <w:t xml:space="preserve">Zitiervorschlag: § 9 SächsVwOrgG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https://recht.nulegal.eu/gesetze/S%C3%A4chsVwOrgG/9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