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SächsVwOrgG (Sachsen) — Aufbau und Aufgaben im Geschäftsbereich des Staatsministeriums des Innern</w:t>
      </w:r>
    </w:p>
    <w:p>
      <w:r>
        <w:rPr>
          <w:color w:val="555555"/>
          <w:sz w:val="18"/>
        </w:rPr>
        <w:t xml:space="preserve">Sächsisches Verwaltungsorganisationsgesetz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Dem Staatsministerium des Innern sind unmittelbar nachgeordnet</w:t>
      </w:r>
    </w:p>
    <w:p>
      <w:r>
        <w:t xml:space="preserve">1. das Landesamt für Verfassungsschutz,</w:t>
      </w:r>
    </w:p>
    <w:p>
      <w:r>
        <w:t xml:space="preserve">2. das Präsidium der Bereitschaftspolizei,</w:t>
      </w:r>
    </w:p>
    <w:p>
      <w:r>
        <w:t xml:space="preserve">3. das Landeskriminalamt,</w:t>
      </w:r>
    </w:p>
    <w:p>
      <w:r>
        <w:t xml:space="preserve">4. das Polizeipräsidium für Service und IT,</w:t>
      </w:r>
    </w:p>
    <w:p>
      <w:r>
        <w:t xml:space="preserve">5. die Polizeidirektionen,</w:t>
      </w:r>
    </w:p>
    <w:p>
      <w:r>
        <w:t xml:space="preserve">6. das Statistische Landesamt,</w:t>
      </w:r>
    </w:p>
    <w:p>
      <w:r>
        <w:t xml:space="preserve">7. das Sächsische Staatsarchiv,</w:t>
      </w:r>
    </w:p>
    <w:p>
      <w:r>
        <w:t xml:space="preserve">8. die Hochschule für öffentliche Verwaltung und Rechtspflege (FH), Fortbildungszentrum des Freistaates Sachsen,</w:t>
      </w:r>
    </w:p>
    <w:p>
      <w:r>
        <w:t xml:space="preserve">9. die Landesfeuerwehr- und Katastrophenschutzschule,</w:t>
      </w:r>
    </w:p>
    <w:p>
      <w:r>
        <w:t xml:space="preserve">10. die Hochschule der Sächsischen Polizei (FH).</w:t>
      </w:r>
    </w:p>
    <w:p>
      <w:r>
        <w:t xml:space="preserve">(2) Die in Absatz 1 genannten Behörden nehmen die in den jeweiligen Fachgesetzen beschriebenen Aufgaben wahr.</w:t>
      </w:r>
    </w:p>
    <w:p>
      <w:r>
        <w:rPr>
          <w:color w:val="555555"/>
          <w:sz w:val="17"/>
        </w:rPr>
        <w:t xml:space="preserve">Zitiervorschlag: § 8 SächsVwOrgG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https://recht.nulegal.eu/gesetze/S%C3%A4chsVwOrgG/8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