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SächsVwOrgG (Sachsen) — Aufgaben</w:t>
      </w:r>
    </w:p>
    <w:p>
      <w:r>
        <w:rPr>
          <w:color w:val="555555"/>
          <w:sz w:val="18"/>
        </w:rPr>
        <w:t xml:space="preserve">Sächsisches Verwaltungsorganisationsgesetz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und im Rahmen ihres Geschäftsbereiches die Ministerpräsidentin oder der Ministerpräsident sowie die Staatsministerien leiten und beaufsichtigen die ihnen nachgeordneten Staatsbehörden.</w:t>
      </w:r>
    </w:p>
    <w:p>
      <w:r>
        <w:rPr>
          <w:color w:val="555555"/>
          <w:sz w:val="17"/>
        </w:rPr>
        <w:t xml:space="preserve">Zitiervorschlag: § 4 SächsVwOrgG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https://recht.nulegal.eu/gesetze/S%C3%A4chsVwOrgG/4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