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SächsVwOrgG (Sachsen) — Einteilung</w:t>
      </w:r>
    </w:p>
    <w:p>
      <w:r>
        <w:rPr>
          <w:color w:val="555555"/>
          <w:sz w:val="18"/>
        </w:rPr>
        <w:t xml:space="preserve">Sächsisches Verwaltungsorganisationsgesetz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Oberste Staatsbehörden nach diesem Gesetz sind die Staatsregierung, die Ministerpräsidentin oder der Ministerpräsident und die Staatsministerien.</w:t>
      </w:r>
    </w:p>
    <w:p>
      <w:r>
        <w:rPr>
          <w:color w:val="555555"/>
          <w:sz w:val="17"/>
        </w:rPr>
        <w:t xml:space="preserve">Zitiervorschlag: § 3 SächsVwOrgG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https://recht.nulegal.eu/gesetze/S%C3%A4chsVwOrgG/3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