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SächsVwOrgG (Sachsen) — Selbsteintrittsrecht</w:t>
      </w:r>
    </w:p>
    <w:p>
      <w:r>
        <w:rPr>
          <w:color w:val="555555"/>
          <w:sz w:val="18"/>
        </w:rPr>
        <w:t xml:space="preserve">Sächsisches Verwaltungsorganisationsgesetz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Aufsichtsbehörde kann, soweit gesetzlich nichts anderes geregelt ist, die Befugnisse der ihrer Aufsicht unterstehenden Staatsbehörde ausüben:</w:t>
      </w:r>
    </w:p>
    <w:p>
      <w:r>
        <w:t xml:space="preserve">1. bei Gefahr im Verzug oder</w:t>
      </w:r>
    </w:p>
    <w:p>
      <w:r>
        <w:t xml:space="preserve">2. wenn die ihr unmittelbar nachgeordnete Staatsbehörde einer ihr erteilten Weisung innerhalb der ihr gesetzten Frist keine Folge geleistet hat.</w:t>
      </w:r>
    </w:p>
    <w:p>
      <w:r>
        <w:rPr>
          <w:color w:val="555555"/>
          <w:sz w:val="17"/>
        </w:rPr>
        <w:t xml:space="preserve">Zitiervorschlag: § 18 SächsVwOrgG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https://recht.nulegal.eu/gesetze/S%C3%A4chsVwOrgG/18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