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15a SächsVwOrgG (Sachsen) — Aufbau und Aufgaben im Geschäftsbereich des Staatsministeriums für Infrastruktur und Landesentwicklung</w:t>
      </w:r>
    </w:p>
    <w:p>
      <w:r>
        <w:rPr>
          <w:color w:val="555555"/>
          <w:sz w:val="18"/>
        </w:rPr>
        <w:t xml:space="preserve">Sächsisches Verwaltungsorganisationsgesetz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Dem Staatsministerium für Infrastruktur und Landesentwicklung sind unmittelbar nachgeordnet</w:t>
      </w:r>
    </w:p>
    <w:p>
      <w:r>
        <w:t xml:space="preserve">1. das Landesamt für Denkmalpflege,</w:t>
      </w:r>
    </w:p>
    <w:p>
      <w:r>
        <w:t xml:space="preserve">2. das Landesamt für Geobasisinformation Sachsen und</w:t>
      </w:r>
    </w:p>
    <w:p>
      <w:r>
        <w:t xml:space="preserve">3. das Landesamt für Straßenbau und Verkehr.</w:t>
      </w:r>
    </w:p>
    <w:p>
      <w:r>
        <w:t xml:space="preserve">(2) Die in Absatz 1 genannten Behörden nehmen die in den jeweiligen Fachgesetzen beschriebenen Aufgaben wahr. Das Landesamt für Geobasisinformation Sachsen stellt dem Staatsbetrieb Sächsisches Immobilien- und Baumanagement im Rahmen von dessen Aufgaben und Zuständigkeiten nach § 9 Absatz 2 die Informationen aus den Eigentümerdaten des amtlichen Vermessungswesens laufend bereit nach § 11 des Sächsischen Vermessungs- und Katastergesetzes vom 29. Januar 2008 (SächsGVBl. S. 138, 148), das zuletzt durch Artikel 1 des Gesetzes vom 19. Juni 2024 (SächsGVBl. S. 636) geändert worden ist, in der jeweils geltenden Fassung.</w:t>
      </w:r>
    </w:p>
    <w:p>
      <w:r>
        <w:rPr>
          <w:color w:val="555555"/>
          <w:sz w:val="17"/>
        </w:rPr>
        <w:t xml:space="preserve">Zitiervorschlag: § 15a SächsVwOrgG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https://recht.nulegal.eu/gesetze/S%C3%A4chsVwOrgG/15a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